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C0" w:rsidRDefault="00DC1CC0" w:rsidP="00DC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C1CC0" w:rsidRPr="0076354E" w:rsidRDefault="00DC1CC0" w:rsidP="00DC1CC0">
      <w:pPr>
        <w:jc w:val="center"/>
        <w:rPr>
          <w:b/>
          <w:sz w:val="28"/>
          <w:szCs w:val="28"/>
        </w:rPr>
      </w:pPr>
    </w:p>
    <w:p w:rsidR="00DC1CC0" w:rsidRDefault="005D1857" w:rsidP="00DC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финансового </w:t>
      </w:r>
      <w:r w:rsidR="00C1746F">
        <w:rPr>
          <w:b/>
          <w:sz w:val="28"/>
          <w:szCs w:val="28"/>
        </w:rPr>
        <w:t>управления</w:t>
      </w:r>
      <w:r>
        <w:rPr>
          <w:b/>
          <w:sz w:val="28"/>
          <w:szCs w:val="28"/>
        </w:rPr>
        <w:t xml:space="preserve"> </w:t>
      </w:r>
      <w:r w:rsidR="00DC1CC0" w:rsidRPr="0076354E">
        <w:rPr>
          <w:b/>
          <w:sz w:val="28"/>
          <w:szCs w:val="28"/>
        </w:rPr>
        <w:t xml:space="preserve"> администрации </w:t>
      </w:r>
    </w:p>
    <w:p w:rsidR="00DC1CC0" w:rsidRDefault="005D1857" w:rsidP="00DC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DC1CC0" w:rsidRPr="0076354E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>результатам</w:t>
      </w:r>
      <w:r w:rsidR="00DC1CC0" w:rsidRPr="0076354E">
        <w:rPr>
          <w:b/>
          <w:sz w:val="28"/>
          <w:szCs w:val="28"/>
        </w:rPr>
        <w:t xml:space="preserve"> проведения годового мониторинга  качества </w:t>
      </w:r>
    </w:p>
    <w:p w:rsidR="00DC1CC0" w:rsidRDefault="00DC1CC0" w:rsidP="00DC1CC0">
      <w:pPr>
        <w:jc w:val="center"/>
        <w:rPr>
          <w:b/>
          <w:sz w:val="28"/>
          <w:szCs w:val="28"/>
        </w:rPr>
      </w:pPr>
      <w:r w:rsidRPr="0076354E">
        <w:rPr>
          <w:b/>
          <w:sz w:val="28"/>
          <w:szCs w:val="28"/>
        </w:rPr>
        <w:t>упра</w:t>
      </w:r>
      <w:r w:rsidRPr="0076354E">
        <w:rPr>
          <w:b/>
          <w:sz w:val="28"/>
          <w:szCs w:val="28"/>
        </w:rPr>
        <w:t>в</w:t>
      </w:r>
      <w:r w:rsidRPr="0076354E">
        <w:rPr>
          <w:b/>
          <w:sz w:val="28"/>
          <w:szCs w:val="28"/>
        </w:rPr>
        <w:t>ления финансами,</w:t>
      </w:r>
      <w:r w:rsidRPr="0076354E">
        <w:rPr>
          <w:b/>
          <w:sz w:val="28"/>
        </w:rPr>
        <w:t xml:space="preserve"> осуществляемого главными распорядителями средств бюджета</w:t>
      </w:r>
      <w:r w:rsidR="005D1857">
        <w:rPr>
          <w:b/>
          <w:sz w:val="28"/>
        </w:rPr>
        <w:t xml:space="preserve"> муниципального района</w:t>
      </w:r>
      <w:r w:rsidRPr="0076354E">
        <w:rPr>
          <w:b/>
          <w:sz w:val="28"/>
        </w:rPr>
        <w:t xml:space="preserve"> в части</w:t>
      </w:r>
      <w:r w:rsidRPr="0076354E">
        <w:rPr>
          <w:b/>
          <w:sz w:val="28"/>
          <w:szCs w:val="28"/>
        </w:rPr>
        <w:t xml:space="preserve"> документов, используемых при составлении  проекта</w:t>
      </w:r>
    </w:p>
    <w:p w:rsidR="00DC1CC0" w:rsidRDefault="00DC1CC0" w:rsidP="00DC1CC0">
      <w:pPr>
        <w:jc w:val="center"/>
        <w:rPr>
          <w:b/>
          <w:sz w:val="28"/>
          <w:szCs w:val="28"/>
        </w:rPr>
      </w:pPr>
      <w:r w:rsidRPr="0076354E">
        <w:rPr>
          <w:b/>
          <w:sz w:val="28"/>
          <w:szCs w:val="28"/>
        </w:rPr>
        <w:t xml:space="preserve"> бюджета</w:t>
      </w:r>
      <w:r w:rsidR="005D1857">
        <w:rPr>
          <w:b/>
          <w:sz w:val="28"/>
          <w:szCs w:val="28"/>
        </w:rPr>
        <w:t xml:space="preserve"> муниципального района</w:t>
      </w:r>
      <w:r w:rsidRPr="0076354E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5</w:t>
      </w:r>
      <w:r w:rsidRPr="0076354E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76354E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76354E">
        <w:rPr>
          <w:b/>
          <w:sz w:val="28"/>
          <w:szCs w:val="28"/>
        </w:rPr>
        <w:t xml:space="preserve"> годов</w:t>
      </w:r>
    </w:p>
    <w:p w:rsidR="00DC1CC0" w:rsidRPr="00B65245" w:rsidRDefault="00DC1CC0" w:rsidP="00DC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DC1CC0" w:rsidRDefault="00DC1CC0" w:rsidP="00DC1CC0">
      <w:pPr>
        <w:rPr>
          <w:sz w:val="28"/>
          <w:szCs w:val="28"/>
        </w:rPr>
      </w:pPr>
    </w:p>
    <w:p w:rsidR="00DC1CC0" w:rsidRDefault="00DC1CC0" w:rsidP="00DC1CC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Мониторинг </w:t>
      </w:r>
      <w:r>
        <w:rPr>
          <w:sz w:val="28"/>
          <w:szCs w:val="28"/>
        </w:rPr>
        <w:t>качества управления финансами</w:t>
      </w:r>
      <w:r w:rsidRPr="00A00BB2">
        <w:rPr>
          <w:sz w:val="28"/>
        </w:rPr>
        <w:t xml:space="preserve"> </w:t>
      </w:r>
      <w:r>
        <w:rPr>
          <w:sz w:val="28"/>
        </w:rPr>
        <w:t>в части</w:t>
      </w:r>
      <w:r w:rsidRPr="00926495">
        <w:rPr>
          <w:b/>
          <w:sz w:val="28"/>
          <w:szCs w:val="28"/>
        </w:rPr>
        <w:t xml:space="preserve"> </w:t>
      </w:r>
      <w:r w:rsidRPr="003B53FA">
        <w:rPr>
          <w:sz w:val="28"/>
          <w:szCs w:val="28"/>
        </w:rPr>
        <w:t>документов, использу</w:t>
      </w:r>
      <w:r w:rsidRPr="003B53FA">
        <w:rPr>
          <w:sz w:val="28"/>
          <w:szCs w:val="28"/>
        </w:rPr>
        <w:t>е</w:t>
      </w:r>
      <w:r w:rsidRPr="003B53FA">
        <w:rPr>
          <w:sz w:val="28"/>
          <w:szCs w:val="28"/>
        </w:rPr>
        <w:t>мых при сост</w:t>
      </w:r>
      <w:r>
        <w:rPr>
          <w:sz w:val="28"/>
          <w:szCs w:val="28"/>
        </w:rPr>
        <w:t>авлении  проекта бюдж</w:t>
      </w:r>
      <w:r w:rsidRPr="003B53FA">
        <w:rPr>
          <w:sz w:val="28"/>
          <w:szCs w:val="28"/>
        </w:rPr>
        <w:t>ета</w:t>
      </w:r>
      <w:r w:rsidR="005D1857">
        <w:rPr>
          <w:sz w:val="28"/>
          <w:szCs w:val="28"/>
        </w:rPr>
        <w:t xml:space="preserve"> муниципального района</w:t>
      </w:r>
      <w:r w:rsidRPr="003B53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2015 год </w:t>
      </w:r>
      <w:r w:rsidRPr="003B53FA">
        <w:rPr>
          <w:sz w:val="28"/>
          <w:szCs w:val="28"/>
        </w:rPr>
        <w:t xml:space="preserve"> и на плановый период</w:t>
      </w:r>
      <w:r>
        <w:rPr>
          <w:sz w:val="28"/>
          <w:szCs w:val="28"/>
        </w:rPr>
        <w:t xml:space="preserve"> 2016 и 2017 годов проводился </w:t>
      </w:r>
      <w:r w:rsidRPr="00B364F3">
        <w:rPr>
          <w:sz w:val="28"/>
          <w:szCs w:val="28"/>
        </w:rPr>
        <w:t>в соответствии</w:t>
      </w:r>
      <w:r w:rsidRPr="00B364F3">
        <w:rPr>
          <w:b/>
          <w:sz w:val="28"/>
          <w:szCs w:val="28"/>
        </w:rPr>
        <w:t xml:space="preserve"> </w:t>
      </w:r>
      <w:r w:rsidRPr="00B364F3">
        <w:rPr>
          <w:sz w:val="28"/>
          <w:szCs w:val="28"/>
        </w:rPr>
        <w:t>с</w:t>
      </w:r>
      <w:r w:rsidRPr="00B364F3">
        <w:rPr>
          <w:b/>
          <w:sz w:val="28"/>
          <w:szCs w:val="28"/>
        </w:rPr>
        <w:t xml:space="preserve"> </w:t>
      </w:r>
      <w:r w:rsidRPr="00B364F3">
        <w:rPr>
          <w:sz w:val="28"/>
          <w:szCs w:val="28"/>
        </w:rPr>
        <w:t xml:space="preserve">постановлением </w:t>
      </w:r>
      <w:r w:rsidR="005D1857">
        <w:rPr>
          <w:sz w:val="28"/>
          <w:szCs w:val="28"/>
        </w:rPr>
        <w:t>администрации района</w:t>
      </w:r>
      <w:r w:rsidRPr="00B364F3">
        <w:rPr>
          <w:sz w:val="28"/>
          <w:szCs w:val="28"/>
        </w:rPr>
        <w:t xml:space="preserve"> от </w:t>
      </w:r>
      <w:r w:rsidR="00C1746F">
        <w:rPr>
          <w:sz w:val="28"/>
          <w:szCs w:val="28"/>
        </w:rPr>
        <w:t>18.03.2011</w:t>
      </w:r>
      <w:r w:rsidRPr="00B364F3">
        <w:rPr>
          <w:sz w:val="28"/>
          <w:szCs w:val="28"/>
        </w:rPr>
        <w:t xml:space="preserve"> № </w:t>
      </w:r>
      <w:r w:rsidR="00525178">
        <w:rPr>
          <w:sz w:val="28"/>
          <w:szCs w:val="28"/>
        </w:rPr>
        <w:t>350</w:t>
      </w:r>
      <w:r>
        <w:rPr>
          <w:sz w:val="28"/>
          <w:szCs w:val="28"/>
        </w:rPr>
        <w:t xml:space="preserve"> </w:t>
      </w:r>
      <w:r w:rsidRPr="00B364F3">
        <w:rPr>
          <w:sz w:val="28"/>
          <w:szCs w:val="28"/>
        </w:rPr>
        <w:t>«О порядке проведения мониторинга качества управления финанс</w:t>
      </w:r>
      <w:r w:rsidRPr="00B364F3">
        <w:rPr>
          <w:sz w:val="28"/>
          <w:szCs w:val="28"/>
        </w:rPr>
        <w:t>а</w:t>
      </w:r>
      <w:r w:rsidRPr="00B364F3">
        <w:rPr>
          <w:sz w:val="28"/>
          <w:szCs w:val="28"/>
        </w:rPr>
        <w:t>ми, осуществляемого главными распорядителями средств бюджета</w:t>
      </w:r>
      <w:r w:rsidR="00C1746F">
        <w:rPr>
          <w:sz w:val="28"/>
          <w:szCs w:val="28"/>
        </w:rPr>
        <w:t xml:space="preserve"> муниципального района</w:t>
      </w:r>
      <w:r w:rsidRPr="00B364F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</w:t>
      </w:r>
      <w:r>
        <w:rPr>
          <w:sz w:val="28"/>
        </w:rPr>
        <w:t>м</w:t>
      </w:r>
      <w:r>
        <w:rPr>
          <w:sz w:val="28"/>
        </w:rPr>
        <w:t>е</w:t>
      </w:r>
      <w:r>
        <w:rPr>
          <w:sz w:val="28"/>
        </w:rPr>
        <w:t xml:space="preserve">тодикой, </w:t>
      </w:r>
      <w:r>
        <w:rPr>
          <w:sz w:val="28"/>
          <w:szCs w:val="28"/>
        </w:rPr>
        <w:t xml:space="preserve">утвержденной  приказом </w:t>
      </w:r>
      <w:r w:rsidR="005D1857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от 1</w:t>
      </w:r>
      <w:r w:rsidR="005D1857">
        <w:rPr>
          <w:sz w:val="28"/>
          <w:szCs w:val="28"/>
        </w:rPr>
        <w:t>7.09</w:t>
      </w:r>
      <w:r>
        <w:rPr>
          <w:sz w:val="28"/>
          <w:szCs w:val="28"/>
        </w:rPr>
        <w:t>.20</w:t>
      </w:r>
      <w:r w:rsidRPr="00574ABD">
        <w:rPr>
          <w:sz w:val="28"/>
          <w:szCs w:val="28"/>
        </w:rPr>
        <w:t>1</w:t>
      </w:r>
      <w:r>
        <w:rPr>
          <w:sz w:val="28"/>
          <w:szCs w:val="28"/>
        </w:rPr>
        <w:t xml:space="preserve">4 № </w:t>
      </w:r>
      <w:r w:rsidR="005D1857">
        <w:rPr>
          <w:sz w:val="28"/>
          <w:szCs w:val="28"/>
        </w:rPr>
        <w:t>79</w:t>
      </w:r>
      <w:r>
        <w:rPr>
          <w:sz w:val="28"/>
          <w:szCs w:val="28"/>
        </w:rPr>
        <w:t xml:space="preserve"> по следующим</w:t>
      </w:r>
      <w:proofErr w:type="gramEnd"/>
      <w:r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ям: </w:t>
      </w:r>
    </w:p>
    <w:p w:rsidR="00DC1CC0" w:rsidRDefault="00DC1CC0" w:rsidP="00DC1CC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48" w:type="dxa"/>
        <w:tblLayout w:type="fixed"/>
        <w:tblLook w:val="01E0"/>
      </w:tblPr>
      <w:tblGrid>
        <w:gridCol w:w="3348"/>
        <w:gridCol w:w="900"/>
        <w:gridCol w:w="900"/>
        <w:gridCol w:w="900"/>
        <w:gridCol w:w="900"/>
        <w:gridCol w:w="900"/>
        <w:gridCol w:w="900"/>
        <w:gridCol w:w="900"/>
      </w:tblGrid>
      <w:tr w:rsidR="00AC1C1E">
        <w:tc>
          <w:tcPr>
            <w:tcW w:w="3348" w:type="dxa"/>
          </w:tcPr>
          <w:p w:rsidR="00AC1C1E" w:rsidRPr="0077421D" w:rsidRDefault="00AC1C1E" w:rsidP="00DC1C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C1C1E" w:rsidRPr="0077421D" w:rsidRDefault="00AC1C1E" w:rsidP="00DC1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  <w:p w:rsidR="00AC1C1E" w:rsidRPr="0077421D" w:rsidRDefault="00AC1C1E" w:rsidP="00DC1C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C1C1E" w:rsidRPr="0077421D" w:rsidRDefault="00AC1C1E" w:rsidP="00DC1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</w:t>
            </w:r>
          </w:p>
          <w:p w:rsidR="00AC1C1E" w:rsidRPr="0077421D" w:rsidRDefault="00AC1C1E" w:rsidP="00DC1C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C1C1E" w:rsidRPr="0077421D" w:rsidRDefault="00AC1C1E" w:rsidP="00DC1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  <w:p w:rsidR="00AC1C1E" w:rsidRPr="0077421D" w:rsidRDefault="00AC1C1E" w:rsidP="00DC1C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C1C1E" w:rsidRPr="0077421D" w:rsidRDefault="00AC1C1E" w:rsidP="00DC1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 сумма баллов</w:t>
            </w:r>
          </w:p>
          <w:p w:rsidR="00AC1C1E" w:rsidRPr="0077421D" w:rsidRDefault="00AC1C1E" w:rsidP="00DC1C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C1C1E" w:rsidRDefault="00AC1C1E" w:rsidP="00DC1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900" w:type="dxa"/>
          </w:tcPr>
          <w:p w:rsidR="00AC1C1E" w:rsidRDefault="00AC1C1E" w:rsidP="00DC1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900" w:type="dxa"/>
          </w:tcPr>
          <w:p w:rsidR="00AC1C1E" w:rsidRPr="0077421D" w:rsidRDefault="00AC1C1E" w:rsidP="00AC1C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 сумма баллов</w:t>
            </w:r>
          </w:p>
          <w:p w:rsidR="00AC1C1E" w:rsidRDefault="00AC1C1E" w:rsidP="00DC1CC0">
            <w:pPr>
              <w:jc w:val="both"/>
              <w:rPr>
                <w:sz w:val="20"/>
                <w:szCs w:val="20"/>
              </w:rPr>
            </w:pPr>
          </w:p>
        </w:tc>
      </w:tr>
    </w:tbl>
    <w:p w:rsidR="00DC1CC0" w:rsidRPr="00141A7D" w:rsidRDefault="00DC1CC0" w:rsidP="00DC1CC0">
      <w:pPr>
        <w:ind w:firstLine="708"/>
        <w:jc w:val="both"/>
        <w:rPr>
          <w:sz w:val="2"/>
          <w:szCs w:val="28"/>
        </w:rPr>
      </w:pPr>
    </w:p>
    <w:tbl>
      <w:tblPr>
        <w:tblStyle w:val="a3"/>
        <w:tblW w:w="9648" w:type="dxa"/>
        <w:tblLayout w:type="fixed"/>
        <w:tblLook w:val="01E0"/>
      </w:tblPr>
      <w:tblGrid>
        <w:gridCol w:w="3348"/>
        <w:gridCol w:w="900"/>
        <w:gridCol w:w="900"/>
        <w:gridCol w:w="900"/>
        <w:gridCol w:w="900"/>
        <w:gridCol w:w="900"/>
        <w:gridCol w:w="900"/>
        <w:gridCol w:w="900"/>
      </w:tblGrid>
      <w:tr w:rsidR="00AC1C1E">
        <w:trPr>
          <w:tblHeader/>
        </w:trPr>
        <w:tc>
          <w:tcPr>
            <w:tcW w:w="3348" w:type="dxa"/>
          </w:tcPr>
          <w:p w:rsidR="00AC1C1E" w:rsidRPr="00190AFC" w:rsidRDefault="00AC1C1E" w:rsidP="00DC1C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</w:tcPr>
          <w:p w:rsidR="00AC1C1E" w:rsidRPr="00190AFC" w:rsidRDefault="00AC1C1E" w:rsidP="00DC1C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</w:tcPr>
          <w:p w:rsidR="00AC1C1E" w:rsidRPr="00190AFC" w:rsidRDefault="00AC1C1E" w:rsidP="00DC1C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</w:tcPr>
          <w:p w:rsidR="00AC1C1E" w:rsidRPr="00190AFC" w:rsidRDefault="00AC1C1E" w:rsidP="00DC1C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</w:tcPr>
          <w:p w:rsidR="00AC1C1E" w:rsidRPr="00190AFC" w:rsidRDefault="00AC1C1E" w:rsidP="00DC1C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</w:tcPr>
          <w:p w:rsidR="00AC1C1E" w:rsidRDefault="00AC1C1E" w:rsidP="00DC1C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AC1C1E" w:rsidRDefault="00AC1C1E" w:rsidP="00DC1C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AC1C1E" w:rsidRDefault="00AC1C1E" w:rsidP="00DC1CC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C1C1E">
        <w:tc>
          <w:tcPr>
            <w:tcW w:w="3348" w:type="dxa"/>
          </w:tcPr>
          <w:p w:rsidR="00AC1C1E" w:rsidRPr="00DB2D0C" w:rsidRDefault="00AC1C1E" w:rsidP="00DC1CC0">
            <w:pPr>
              <w:jc w:val="both"/>
              <w:rPr>
                <w:sz w:val="20"/>
                <w:szCs w:val="20"/>
              </w:rPr>
            </w:pPr>
            <w:r w:rsidRPr="00DB2D0C">
              <w:rPr>
                <w:sz w:val="20"/>
                <w:szCs w:val="20"/>
              </w:rPr>
              <w:t>1. Полнота  отражения в пл</w:t>
            </w:r>
            <w:r w:rsidRPr="00DB2D0C">
              <w:rPr>
                <w:sz w:val="20"/>
                <w:szCs w:val="20"/>
              </w:rPr>
              <w:t>а</w:t>
            </w:r>
            <w:r w:rsidRPr="00DB2D0C">
              <w:rPr>
                <w:sz w:val="20"/>
                <w:szCs w:val="20"/>
              </w:rPr>
              <w:t>новом реестре расхо</w:t>
            </w:r>
            <w:r w:rsidRPr="00DB2D0C">
              <w:rPr>
                <w:sz w:val="20"/>
                <w:szCs w:val="20"/>
              </w:rPr>
              <w:t>д</w:t>
            </w:r>
            <w:r w:rsidRPr="00DB2D0C">
              <w:rPr>
                <w:sz w:val="20"/>
                <w:szCs w:val="20"/>
              </w:rPr>
              <w:t xml:space="preserve">ных обязательств </w:t>
            </w:r>
            <w:r>
              <w:rPr>
                <w:sz w:val="20"/>
                <w:szCs w:val="20"/>
              </w:rPr>
              <w:t>муниципальных</w:t>
            </w:r>
            <w:r w:rsidRPr="00DB2D0C">
              <w:rPr>
                <w:sz w:val="20"/>
                <w:szCs w:val="20"/>
              </w:rPr>
              <w:t xml:space="preserve"> правовых актов, на основании которых возникают расходные обязател</w:t>
            </w:r>
            <w:r w:rsidRPr="00DB2D0C">
              <w:rPr>
                <w:sz w:val="20"/>
                <w:szCs w:val="20"/>
              </w:rPr>
              <w:t>ь</w:t>
            </w:r>
            <w:r w:rsidRPr="00DB2D0C">
              <w:rPr>
                <w:sz w:val="20"/>
                <w:szCs w:val="20"/>
              </w:rPr>
              <w:t>ства</w:t>
            </w:r>
          </w:p>
        </w:tc>
        <w:tc>
          <w:tcPr>
            <w:tcW w:w="900" w:type="dxa"/>
          </w:tcPr>
          <w:p w:rsidR="00AC1C1E" w:rsidRPr="002D4324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1252A8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051E5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1C1E">
        <w:tc>
          <w:tcPr>
            <w:tcW w:w="3348" w:type="dxa"/>
          </w:tcPr>
          <w:p w:rsidR="00AC1C1E" w:rsidRPr="00DB2D0C" w:rsidRDefault="00AC1C1E" w:rsidP="00DC1CC0">
            <w:pPr>
              <w:jc w:val="both"/>
              <w:rPr>
                <w:sz w:val="20"/>
                <w:szCs w:val="20"/>
              </w:rPr>
            </w:pPr>
            <w:r w:rsidRPr="00DB2D0C">
              <w:rPr>
                <w:sz w:val="20"/>
                <w:szCs w:val="20"/>
              </w:rPr>
              <w:t>2. Соответствие объема бю</w:t>
            </w:r>
            <w:r w:rsidRPr="00DB2D0C">
              <w:rPr>
                <w:sz w:val="20"/>
                <w:szCs w:val="20"/>
              </w:rPr>
              <w:t>д</w:t>
            </w:r>
            <w:r w:rsidRPr="00DB2D0C">
              <w:rPr>
                <w:sz w:val="20"/>
                <w:szCs w:val="20"/>
              </w:rPr>
              <w:t xml:space="preserve">жетных ассигнований, утвержденных в </w:t>
            </w:r>
            <w:r>
              <w:rPr>
                <w:sz w:val="20"/>
                <w:szCs w:val="20"/>
              </w:rPr>
              <w:t>муниципальной</w:t>
            </w:r>
            <w:r w:rsidRPr="00DB2D0C">
              <w:rPr>
                <w:sz w:val="20"/>
                <w:szCs w:val="20"/>
              </w:rPr>
              <w:t xml:space="preserve"> программе, объему бюджетных ассигнований в плановом реестре  расходных обяз</w:t>
            </w:r>
            <w:r w:rsidRPr="00DB2D0C">
              <w:rPr>
                <w:sz w:val="20"/>
                <w:szCs w:val="20"/>
              </w:rPr>
              <w:t>а</w:t>
            </w:r>
            <w:r w:rsidRPr="00DB2D0C">
              <w:rPr>
                <w:sz w:val="20"/>
                <w:szCs w:val="20"/>
              </w:rPr>
              <w:t>тельств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1C1E">
        <w:tc>
          <w:tcPr>
            <w:tcW w:w="3348" w:type="dxa"/>
          </w:tcPr>
          <w:p w:rsidR="00AC1C1E" w:rsidRPr="00DB2D0C" w:rsidRDefault="00AC1C1E" w:rsidP="00DC1CC0">
            <w:pPr>
              <w:jc w:val="both"/>
              <w:rPr>
                <w:sz w:val="20"/>
                <w:szCs w:val="20"/>
              </w:rPr>
            </w:pPr>
            <w:r w:rsidRPr="00DB2D0C">
              <w:rPr>
                <w:sz w:val="20"/>
                <w:szCs w:val="20"/>
              </w:rPr>
              <w:t>3. Наличие в представленных мат</w:t>
            </w:r>
            <w:r w:rsidRPr="00DB2D0C">
              <w:rPr>
                <w:sz w:val="20"/>
                <w:szCs w:val="20"/>
              </w:rPr>
              <w:t>е</w:t>
            </w:r>
            <w:r w:rsidRPr="00DB2D0C">
              <w:rPr>
                <w:sz w:val="20"/>
                <w:szCs w:val="20"/>
              </w:rPr>
              <w:t>риалах к проекту бюджета пояснител</w:t>
            </w:r>
            <w:r w:rsidRPr="00DB2D0C">
              <w:rPr>
                <w:sz w:val="20"/>
                <w:szCs w:val="20"/>
              </w:rPr>
              <w:t>ь</w:t>
            </w:r>
            <w:r w:rsidRPr="00DB2D0C">
              <w:rPr>
                <w:sz w:val="20"/>
                <w:szCs w:val="20"/>
              </w:rPr>
              <w:t>ной записки, оформленной в  соответствии с  требованиями, у</w:t>
            </w:r>
            <w:r w:rsidRPr="00DB2D0C">
              <w:rPr>
                <w:sz w:val="20"/>
                <w:szCs w:val="20"/>
              </w:rPr>
              <w:t>с</w:t>
            </w:r>
            <w:r w:rsidRPr="00DB2D0C">
              <w:rPr>
                <w:sz w:val="20"/>
                <w:szCs w:val="20"/>
              </w:rPr>
              <w:t xml:space="preserve">тановленными </w:t>
            </w:r>
            <w:r>
              <w:rPr>
                <w:sz w:val="20"/>
                <w:szCs w:val="20"/>
              </w:rPr>
              <w:t>финансовым управлением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1C1E">
        <w:tc>
          <w:tcPr>
            <w:tcW w:w="3348" w:type="dxa"/>
          </w:tcPr>
          <w:p w:rsidR="00AC1C1E" w:rsidRPr="00DB2D0C" w:rsidRDefault="00AC1C1E" w:rsidP="00DC1CC0">
            <w:pPr>
              <w:jc w:val="both"/>
              <w:rPr>
                <w:sz w:val="20"/>
                <w:szCs w:val="20"/>
              </w:rPr>
            </w:pPr>
            <w:r w:rsidRPr="00DB2D0C">
              <w:rPr>
                <w:sz w:val="20"/>
                <w:szCs w:val="20"/>
              </w:rPr>
              <w:t>4. Представление бюдже</w:t>
            </w:r>
            <w:r w:rsidRPr="00DB2D0C">
              <w:rPr>
                <w:sz w:val="20"/>
                <w:szCs w:val="20"/>
              </w:rPr>
              <w:t>т</w:t>
            </w:r>
            <w:r w:rsidRPr="00DB2D0C">
              <w:rPr>
                <w:sz w:val="20"/>
                <w:szCs w:val="20"/>
              </w:rPr>
              <w:t xml:space="preserve">ных смет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DB2D0C">
              <w:rPr>
                <w:sz w:val="20"/>
                <w:szCs w:val="20"/>
              </w:rPr>
              <w:t xml:space="preserve"> казенных учре</w:t>
            </w:r>
            <w:r w:rsidRPr="00DB2D0C">
              <w:rPr>
                <w:sz w:val="20"/>
                <w:szCs w:val="20"/>
              </w:rPr>
              <w:t>ж</w:t>
            </w:r>
            <w:r w:rsidRPr="00DB2D0C">
              <w:rPr>
                <w:sz w:val="20"/>
                <w:szCs w:val="20"/>
              </w:rPr>
              <w:t xml:space="preserve">дений и планов финансово-хозяйственной деятельности </w:t>
            </w:r>
            <w:r>
              <w:rPr>
                <w:sz w:val="20"/>
                <w:szCs w:val="20"/>
              </w:rPr>
              <w:t>муниципальных</w:t>
            </w:r>
            <w:r w:rsidRPr="00DB2D0C">
              <w:rPr>
                <w:sz w:val="20"/>
                <w:szCs w:val="20"/>
              </w:rPr>
              <w:t xml:space="preserve"> бюджетных учреждений на очере</w:t>
            </w:r>
            <w:r w:rsidRPr="00DB2D0C">
              <w:rPr>
                <w:sz w:val="20"/>
                <w:szCs w:val="20"/>
              </w:rPr>
              <w:t>д</w:t>
            </w:r>
            <w:r w:rsidRPr="00DB2D0C">
              <w:rPr>
                <w:sz w:val="20"/>
                <w:szCs w:val="20"/>
              </w:rPr>
              <w:t>ной финансовый год и на плановый п</w:t>
            </w:r>
            <w:r w:rsidRPr="00DB2D0C">
              <w:rPr>
                <w:sz w:val="20"/>
                <w:szCs w:val="20"/>
              </w:rPr>
              <w:t>е</w:t>
            </w:r>
            <w:r w:rsidRPr="00DB2D0C">
              <w:rPr>
                <w:sz w:val="20"/>
                <w:szCs w:val="20"/>
              </w:rPr>
              <w:t xml:space="preserve">риод 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1C1E">
        <w:tc>
          <w:tcPr>
            <w:tcW w:w="3348" w:type="dxa"/>
          </w:tcPr>
          <w:p w:rsidR="00AC1C1E" w:rsidRPr="00DB2D0C" w:rsidRDefault="00AC1C1E" w:rsidP="00DC1CC0">
            <w:pPr>
              <w:jc w:val="both"/>
              <w:rPr>
                <w:sz w:val="20"/>
                <w:szCs w:val="20"/>
              </w:rPr>
            </w:pPr>
            <w:r w:rsidRPr="00DB2D0C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Своевременность подготовки проектов муниципальных нормативных правовых актов по вновь принимаемым обязательствам и по  внесению изменений по действующим обязательствам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1C1E">
        <w:trPr>
          <w:trHeight w:val="638"/>
        </w:trPr>
        <w:tc>
          <w:tcPr>
            <w:tcW w:w="3348" w:type="dxa"/>
          </w:tcPr>
          <w:p w:rsidR="00AC1C1E" w:rsidRPr="00DB2D0C" w:rsidRDefault="00AC1C1E" w:rsidP="00DC1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B2D0C">
              <w:rPr>
                <w:sz w:val="20"/>
                <w:szCs w:val="20"/>
              </w:rPr>
              <w:t>. Расчет нормативных затрат сто</w:t>
            </w:r>
            <w:r w:rsidRPr="00DB2D0C">
              <w:rPr>
                <w:sz w:val="20"/>
                <w:szCs w:val="20"/>
              </w:rPr>
              <w:t>и</w:t>
            </w:r>
            <w:r w:rsidRPr="00DB2D0C">
              <w:rPr>
                <w:sz w:val="20"/>
                <w:szCs w:val="20"/>
              </w:rPr>
              <w:t xml:space="preserve">мости единицы </w:t>
            </w:r>
            <w:r>
              <w:rPr>
                <w:sz w:val="20"/>
                <w:szCs w:val="20"/>
              </w:rPr>
              <w:t>муниципальной</w:t>
            </w:r>
            <w:r w:rsidRPr="00DB2D0C">
              <w:rPr>
                <w:sz w:val="20"/>
                <w:szCs w:val="20"/>
              </w:rPr>
              <w:t xml:space="preserve"> услуги (работы)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C1C1E">
        <w:trPr>
          <w:trHeight w:val="960"/>
        </w:trPr>
        <w:tc>
          <w:tcPr>
            <w:tcW w:w="3348" w:type="dxa"/>
          </w:tcPr>
          <w:p w:rsidR="00AC1C1E" w:rsidRPr="00DB2D0C" w:rsidRDefault="00AC1C1E" w:rsidP="00DC1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B2D0C">
              <w:rPr>
                <w:sz w:val="20"/>
                <w:szCs w:val="20"/>
              </w:rPr>
              <w:t xml:space="preserve">. Наличие </w:t>
            </w:r>
            <w:r>
              <w:rPr>
                <w:sz w:val="20"/>
                <w:szCs w:val="20"/>
              </w:rPr>
              <w:t>муниципального</w:t>
            </w:r>
            <w:r w:rsidRPr="00DB2D0C">
              <w:rPr>
                <w:sz w:val="20"/>
                <w:szCs w:val="20"/>
              </w:rPr>
              <w:t xml:space="preserve"> зад</w:t>
            </w:r>
            <w:r w:rsidRPr="00DB2D0C">
              <w:rPr>
                <w:sz w:val="20"/>
                <w:szCs w:val="20"/>
              </w:rPr>
              <w:t>а</w:t>
            </w:r>
            <w:r w:rsidRPr="00DB2D0C">
              <w:rPr>
                <w:sz w:val="20"/>
                <w:szCs w:val="20"/>
              </w:rPr>
              <w:t xml:space="preserve">ния на оказание </w:t>
            </w:r>
            <w:r>
              <w:rPr>
                <w:sz w:val="20"/>
                <w:szCs w:val="20"/>
              </w:rPr>
              <w:t>муниципальных</w:t>
            </w:r>
            <w:r w:rsidRPr="00DB2D0C">
              <w:rPr>
                <w:sz w:val="20"/>
                <w:szCs w:val="20"/>
              </w:rPr>
              <w:t xml:space="preserve"> услуг (выполнение работ) </w:t>
            </w:r>
            <w:r>
              <w:rPr>
                <w:sz w:val="20"/>
                <w:szCs w:val="20"/>
              </w:rPr>
              <w:t>районными</w:t>
            </w:r>
            <w:r w:rsidRPr="00DB2D0C">
              <w:rPr>
                <w:sz w:val="20"/>
                <w:szCs w:val="20"/>
              </w:rPr>
              <w:t xml:space="preserve">  казенными учрежд</w:t>
            </w:r>
            <w:r w:rsidRPr="00DB2D0C">
              <w:rPr>
                <w:sz w:val="20"/>
                <w:szCs w:val="20"/>
              </w:rPr>
              <w:t>е</w:t>
            </w:r>
            <w:r w:rsidRPr="00DB2D0C">
              <w:rPr>
                <w:sz w:val="20"/>
                <w:szCs w:val="20"/>
              </w:rPr>
              <w:t>ниями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C1C1E">
        <w:tc>
          <w:tcPr>
            <w:tcW w:w="3348" w:type="dxa"/>
          </w:tcPr>
          <w:p w:rsidR="00AC1C1E" w:rsidRPr="0077421D" w:rsidRDefault="00AC1C1E" w:rsidP="00DC1CC0">
            <w:pPr>
              <w:jc w:val="both"/>
              <w:rPr>
                <w:sz w:val="20"/>
                <w:szCs w:val="20"/>
              </w:rPr>
            </w:pPr>
            <w:r w:rsidRPr="0077421D">
              <w:rPr>
                <w:sz w:val="20"/>
                <w:szCs w:val="20"/>
              </w:rPr>
              <w:t>Средняя итоговая оценка  монит</w:t>
            </w:r>
            <w:r w:rsidRPr="0077421D">
              <w:rPr>
                <w:sz w:val="20"/>
                <w:szCs w:val="20"/>
              </w:rPr>
              <w:t>о</w:t>
            </w:r>
            <w:r w:rsidRPr="0077421D">
              <w:rPr>
                <w:sz w:val="20"/>
                <w:szCs w:val="20"/>
              </w:rPr>
              <w:t>ринга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4,29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3,86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C1C1E" w:rsidRPr="0077421D" w:rsidRDefault="005D1857" w:rsidP="00DC1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282A87" w:rsidRDefault="00282A87" w:rsidP="00282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оценка проводилась по 5 главным распорядителям средств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муниципального района, из них 3 имеют подведомственные учреждения.</w:t>
      </w:r>
    </w:p>
    <w:p w:rsidR="00282A87" w:rsidRPr="00831D55" w:rsidRDefault="00282A87" w:rsidP="00282A87">
      <w:pPr>
        <w:ind w:firstLine="708"/>
        <w:jc w:val="both"/>
        <w:rPr>
          <w:sz w:val="28"/>
          <w:szCs w:val="28"/>
        </w:rPr>
      </w:pPr>
      <w:r>
        <w:rPr>
          <w:sz w:val="28"/>
        </w:rPr>
        <w:t>Средняя итоговая  оценка</w:t>
      </w:r>
      <w:r w:rsidRPr="001F08D5">
        <w:rPr>
          <w:sz w:val="28"/>
        </w:rPr>
        <w:t xml:space="preserve"> </w:t>
      </w:r>
      <w:r>
        <w:rPr>
          <w:sz w:val="28"/>
        </w:rPr>
        <w:t xml:space="preserve">по 5-и бальной шкале в 2014 году  по </w:t>
      </w:r>
      <w:r>
        <w:rPr>
          <w:sz w:val="28"/>
          <w:szCs w:val="28"/>
        </w:rPr>
        <w:t>главным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рядителям, имеющим подведомственные  учреждения, составила 3,86 балла. Средняя итоговая оценка  по главным распорядителям,</w:t>
      </w:r>
      <w:r w:rsidRPr="0086701F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имеющим 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ведомственную сеть, – 5 баллов. </w:t>
      </w:r>
    </w:p>
    <w:p w:rsidR="00282A87" w:rsidRDefault="00282A87" w:rsidP="00282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главных распорядителей средств, имеющих подведомственные 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лучшие результаты сложились в управлении культуры, </w:t>
      </w:r>
      <w:proofErr w:type="gramStart"/>
      <w:r>
        <w:rPr>
          <w:sz w:val="28"/>
          <w:szCs w:val="28"/>
        </w:rPr>
        <w:t>молодежной</w:t>
      </w:r>
      <w:proofErr w:type="gramEnd"/>
      <w:r>
        <w:rPr>
          <w:sz w:val="28"/>
          <w:szCs w:val="28"/>
        </w:rPr>
        <w:t xml:space="preserve"> политики и туризма - 4,29 баллов,  в администрации района – 4,0 балла. Наименьший балл – 3,29 у управления образования.</w:t>
      </w:r>
    </w:p>
    <w:p w:rsidR="00282A87" w:rsidRDefault="00282A87" w:rsidP="00282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главных распорядителей,</w:t>
      </w:r>
      <w:r w:rsidRPr="0086701F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имеющих  подведомственную сеть,</w:t>
      </w:r>
      <w:r w:rsidRPr="00C9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результаты-5баллов. </w:t>
      </w:r>
    </w:p>
    <w:p w:rsidR="00282A87" w:rsidRDefault="00282A87" w:rsidP="00282A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</w:t>
      </w:r>
      <w:r w:rsidR="009F011B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от</w:t>
      </w:r>
      <w:r w:rsidR="009F011B">
        <w:rPr>
          <w:sz w:val="28"/>
          <w:szCs w:val="28"/>
        </w:rPr>
        <w:t>26.09.2014</w:t>
      </w:r>
      <w:r>
        <w:rPr>
          <w:sz w:val="28"/>
          <w:szCs w:val="28"/>
        </w:rPr>
        <w:t xml:space="preserve"> </w:t>
      </w:r>
      <w:r w:rsidRPr="00C1746F">
        <w:rPr>
          <w:sz w:val="28"/>
          <w:szCs w:val="28"/>
        </w:rPr>
        <w:t>№</w:t>
      </w:r>
      <w:r w:rsidR="009F011B" w:rsidRPr="00C1746F">
        <w:rPr>
          <w:sz w:val="28"/>
          <w:szCs w:val="28"/>
        </w:rPr>
        <w:t>1280</w:t>
      </w:r>
      <w:r w:rsidRPr="00282A87">
        <w:rPr>
          <w:b/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муниципальной программы муниципального образования Киржачский район «Управл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муниципальными   финансами и муниципальным долгом» (далее-Программа) установлен  целевой индикатор,  характеризующий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ство финансового менеджмента, со значением индикатора на 2014 год равным </w:t>
      </w:r>
      <w:r w:rsidRPr="00282A87">
        <w:rPr>
          <w:b/>
          <w:sz w:val="28"/>
          <w:szCs w:val="28"/>
        </w:rPr>
        <w:t xml:space="preserve">≤ </w:t>
      </w:r>
      <w:r w:rsidR="009F011B" w:rsidRPr="009F011B">
        <w:rPr>
          <w:sz w:val="28"/>
          <w:szCs w:val="28"/>
        </w:rPr>
        <w:t>20</w:t>
      </w:r>
      <w:r w:rsidRPr="00282A87"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доли главных распорядителей средств бюджета муниципального района, имеющих индекс качества финансового менеджмента менее 40 процентов максимального балла оценки мониторинга качества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proofErr w:type="gramEnd"/>
      <w:r>
        <w:rPr>
          <w:sz w:val="28"/>
          <w:szCs w:val="28"/>
        </w:rPr>
        <w:t xml:space="preserve"> финансами. </w:t>
      </w:r>
    </w:p>
    <w:p w:rsidR="009F011B" w:rsidRDefault="00282A87" w:rsidP="00282A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установленного индекса </w:t>
      </w:r>
      <w:r w:rsidR="009F011B">
        <w:rPr>
          <w:sz w:val="28"/>
          <w:szCs w:val="28"/>
        </w:rPr>
        <w:t xml:space="preserve">в 2014году оценки </w:t>
      </w:r>
      <w:r>
        <w:rPr>
          <w:sz w:val="28"/>
          <w:szCs w:val="28"/>
        </w:rPr>
        <w:t xml:space="preserve"> результат</w:t>
      </w:r>
      <w:r w:rsidR="009F011B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9F011B">
        <w:rPr>
          <w:sz w:val="28"/>
          <w:szCs w:val="28"/>
        </w:rPr>
        <w:t xml:space="preserve">нет. </w:t>
      </w:r>
    </w:p>
    <w:p w:rsidR="00282A87" w:rsidRDefault="00282A87" w:rsidP="00282A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значение расчетного показателя  доли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ных распорядителей средств бюджета муниципального района, имеющих индекс качества финансового менеджмента менее 40 процентов максимального </w:t>
      </w:r>
      <w:proofErr w:type="gramStart"/>
      <w:r>
        <w:rPr>
          <w:sz w:val="28"/>
          <w:szCs w:val="28"/>
        </w:rPr>
        <w:t>балла оценки мониторинга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управления</w:t>
      </w:r>
      <w:proofErr w:type="gramEnd"/>
      <w:r>
        <w:rPr>
          <w:sz w:val="28"/>
          <w:szCs w:val="28"/>
        </w:rPr>
        <w:t xml:space="preserve"> финансами, составило </w:t>
      </w:r>
      <w:r w:rsidR="009F011B">
        <w:rPr>
          <w:sz w:val="28"/>
          <w:szCs w:val="28"/>
        </w:rPr>
        <w:t>0</w:t>
      </w:r>
      <w:r>
        <w:rPr>
          <w:sz w:val="28"/>
          <w:szCs w:val="28"/>
        </w:rPr>
        <w:t xml:space="preserve"> % , что подтверждает выполнение установленного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мой показателя.</w:t>
      </w:r>
    </w:p>
    <w:p w:rsidR="00282A87" w:rsidRPr="00D12AA8" w:rsidRDefault="00282A87" w:rsidP="00282A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итогам проведения </w:t>
      </w:r>
      <w:r>
        <w:rPr>
          <w:sz w:val="28"/>
        </w:rPr>
        <w:t xml:space="preserve">мониторинга </w:t>
      </w:r>
      <w:r>
        <w:rPr>
          <w:sz w:val="28"/>
          <w:szCs w:val="28"/>
        </w:rPr>
        <w:t>качества управления финансами</w:t>
      </w:r>
      <w:r w:rsidRPr="00A00BB2">
        <w:rPr>
          <w:sz w:val="28"/>
        </w:rPr>
        <w:t xml:space="preserve"> </w:t>
      </w:r>
      <w:r>
        <w:rPr>
          <w:sz w:val="28"/>
        </w:rPr>
        <w:t>в части</w:t>
      </w:r>
      <w:r w:rsidRPr="00926495">
        <w:rPr>
          <w:b/>
          <w:sz w:val="28"/>
          <w:szCs w:val="28"/>
        </w:rPr>
        <w:t xml:space="preserve"> </w:t>
      </w:r>
      <w:r w:rsidRPr="003B53FA">
        <w:rPr>
          <w:sz w:val="28"/>
          <w:szCs w:val="28"/>
        </w:rPr>
        <w:t>документов, использу</w:t>
      </w:r>
      <w:r w:rsidRPr="003B53FA">
        <w:rPr>
          <w:sz w:val="28"/>
          <w:szCs w:val="28"/>
        </w:rPr>
        <w:t>е</w:t>
      </w:r>
      <w:r w:rsidRPr="003B53FA">
        <w:rPr>
          <w:sz w:val="28"/>
          <w:szCs w:val="28"/>
        </w:rPr>
        <w:t>мых при сост</w:t>
      </w:r>
      <w:r>
        <w:rPr>
          <w:sz w:val="28"/>
          <w:szCs w:val="28"/>
        </w:rPr>
        <w:t>авлении  проекта бюдж</w:t>
      </w:r>
      <w:r w:rsidRPr="003B53FA">
        <w:rPr>
          <w:sz w:val="28"/>
          <w:szCs w:val="28"/>
        </w:rPr>
        <w:t xml:space="preserve">ета </w:t>
      </w:r>
      <w:r>
        <w:rPr>
          <w:sz w:val="28"/>
          <w:szCs w:val="28"/>
        </w:rPr>
        <w:t xml:space="preserve">на 2015 год </w:t>
      </w:r>
      <w:r w:rsidRPr="003B53FA">
        <w:rPr>
          <w:sz w:val="28"/>
          <w:szCs w:val="28"/>
        </w:rPr>
        <w:t xml:space="preserve"> и на плановый период</w:t>
      </w:r>
      <w:r>
        <w:rPr>
          <w:sz w:val="28"/>
          <w:szCs w:val="28"/>
        </w:rPr>
        <w:t xml:space="preserve"> 2016 и 2017 годов, главным распорядителям средств бюджета муниципального района следует обратить внимание на </w:t>
      </w:r>
      <w:r w:rsidRPr="00A721B1">
        <w:rPr>
          <w:sz w:val="28"/>
          <w:szCs w:val="28"/>
        </w:rPr>
        <w:t>своевременность подготовки проектов норм</w:t>
      </w:r>
      <w:r w:rsidRPr="00A721B1">
        <w:rPr>
          <w:sz w:val="28"/>
          <w:szCs w:val="28"/>
        </w:rPr>
        <w:t>а</w:t>
      </w:r>
      <w:r w:rsidRPr="00A721B1">
        <w:rPr>
          <w:sz w:val="28"/>
          <w:szCs w:val="28"/>
        </w:rPr>
        <w:t xml:space="preserve">тивных правовых актов по </w:t>
      </w:r>
      <w:r>
        <w:rPr>
          <w:sz w:val="28"/>
          <w:szCs w:val="28"/>
        </w:rPr>
        <w:t>расчету нормативных затрат стоимости единиц</w:t>
      </w:r>
      <w:r w:rsidR="009F011B">
        <w:rPr>
          <w:sz w:val="28"/>
          <w:szCs w:val="28"/>
        </w:rPr>
        <w:t>ы муниципальной услуги (работы)</w:t>
      </w:r>
      <w:r>
        <w:rPr>
          <w:sz w:val="28"/>
          <w:szCs w:val="28"/>
        </w:rPr>
        <w:t>, по доведению муниципального задания на оказание муниципальных услуг (выполнения</w:t>
      </w:r>
      <w:proofErr w:type="gramEnd"/>
      <w:r>
        <w:rPr>
          <w:sz w:val="28"/>
          <w:szCs w:val="28"/>
        </w:rPr>
        <w:t xml:space="preserve"> работ) районными казенными учреждениями.</w:t>
      </w:r>
    </w:p>
    <w:p w:rsidR="00282A87" w:rsidRPr="009659B9" w:rsidRDefault="00282A87" w:rsidP="00282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Рейтинги</w:t>
      </w:r>
      <w:r w:rsidRPr="00260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годового мониторинга качества управления финансами в части </w:t>
      </w:r>
      <w:r w:rsidRPr="003B53FA">
        <w:rPr>
          <w:sz w:val="28"/>
          <w:szCs w:val="28"/>
        </w:rPr>
        <w:t>док</w:t>
      </w:r>
      <w:r w:rsidRPr="003B53FA">
        <w:rPr>
          <w:sz w:val="28"/>
          <w:szCs w:val="28"/>
        </w:rPr>
        <w:t>у</w:t>
      </w:r>
      <w:r w:rsidRPr="003B53FA">
        <w:rPr>
          <w:sz w:val="28"/>
          <w:szCs w:val="28"/>
        </w:rPr>
        <w:t>ментов, используемых при составлении  проекта бюджета</w:t>
      </w:r>
      <w:r>
        <w:rPr>
          <w:sz w:val="28"/>
          <w:szCs w:val="28"/>
        </w:rPr>
        <w:t xml:space="preserve"> муниципального района</w:t>
      </w:r>
      <w:r w:rsidRPr="003B53F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2015</w:t>
      </w:r>
      <w:r w:rsidRPr="003B53FA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2016 и 2017 годов,  </w:t>
      </w:r>
      <w:r w:rsidRPr="008053EC">
        <w:rPr>
          <w:sz w:val="28"/>
          <w:szCs w:val="28"/>
        </w:rPr>
        <w:t>осуществляемого главными распорядител</w:t>
      </w:r>
      <w:r w:rsidRPr="008053EC">
        <w:rPr>
          <w:sz w:val="28"/>
          <w:szCs w:val="28"/>
        </w:rPr>
        <w:t>я</w:t>
      </w:r>
      <w:r w:rsidRPr="008053EC">
        <w:rPr>
          <w:sz w:val="28"/>
          <w:szCs w:val="28"/>
        </w:rPr>
        <w:t>ми средств бюджета</w:t>
      </w:r>
      <w:r>
        <w:rPr>
          <w:sz w:val="28"/>
          <w:szCs w:val="28"/>
        </w:rPr>
        <w:t xml:space="preserve"> муниципального района 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ются.</w:t>
      </w:r>
    </w:p>
    <w:p w:rsidR="00282A87" w:rsidRDefault="00282A87" w:rsidP="00282A87">
      <w:pPr>
        <w:jc w:val="both"/>
        <w:rPr>
          <w:sz w:val="28"/>
          <w:szCs w:val="28"/>
        </w:rPr>
      </w:pPr>
    </w:p>
    <w:p w:rsidR="00C1746F" w:rsidRDefault="00C1746F" w:rsidP="00282A87">
      <w:pPr>
        <w:jc w:val="both"/>
        <w:rPr>
          <w:sz w:val="28"/>
          <w:szCs w:val="28"/>
        </w:rPr>
      </w:pPr>
    </w:p>
    <w:p w:rsidR="00C1746F" w:rsidRDefault="00C1746F" w:rsidP="00282A87">
      <w:pPr>
        <w:jc w:val="both"/>
        <w:rPr>
          <w:sz w:val="28"/>
          <w:szCs w:val="28"/>
        </w:rPr>
      </w:pPr>
    </w:p>
    <w:p w:rsidR="00C1746F" w:rsidRDefault="00C1746F" w:rsidP="00282A87">
      <w:pPr>
        <w:jc w:val="both"/>
        <w:rPr>
          <w:sz w:val="28"/>
          <w:szCs w:val="28"/>
        </w:rPr>
      </w:pPr>
    </w:p>
    <w:p w:rsidR="00C1746F" w:rsidRDefault="00C1746F" w:rsidP="00282A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C1746F" w:rsidRDefault="00C1746F" w:rsidP="00282A8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О.В.Каленова</w:t>
      </w:r>
    </w:p>
    <w:p w:rsidR="00C1746F" w:rsidRPr="00C1746F" w:rsidRDefault="00C1746F" w:rsidP="00282A87">
      <w:pPr>
        <w:jc w:val="both"/>
        <w:rPr>
          <w:sz w:val="28"/>
          <w:szCs w:val="28"/>
        </w:rPr>
      </w:pPr>
      <w:r w:rsidRPr="00C1746F">
        <w:rPr>
          <w:sz w:val="28"/>
          <w:szCs w:val="28"/>
        </w:rPr>
        <w:object w:dxaOrig="11278" w:dyaOrig="7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392.25pt">
            <v:imagedata r:id="rId4" o:title=""/>
          </v:shape>
        </w:object>
      </w:r>
    </w:p>
    <w:p w:rsidR="00C1746F" w:rsidRDefault="00C1746F" w:rsidP="00282A87">
      <w:pPr>
        <w:jc w:val="both"/>
        <w:rPr>
          <w:sz w:val="28"/>
          <w:szCs w:val="28"/>
        </w:rPr>
      </w:pPr>
    </w:p>
    <w:p w:rsidR="00C1746F" w:rsidRPr="00C1746F" w:rsidRDefault="00C1746F" w:rsidP="00282A87">
      <w:pPr>
        <w:jc w:val="both"/>
        <w:rPr>
          <w:sz w:val="28"/>
          <w:szCs w:val="28"/>
        </w:rPr>
      </w:pPr>
    </w:p>
    <w:p w:rsidR="00282A87" w:rsidRPr="00C1746F" w:rsidRDefault="00282A87" w:rsidP="00282A87">
      <w:pPr>
        <w:jc w:val="both"/>
        <w:rPr>
          <w:sz w:val="28"/>
          <w:szCs w:val="28"/>
        </w:rPr>
      </w:pPr>
    </w:p>
    <w:p w:rsidR="00282A87" w:rsidRDefault="00282A87" w:rsidP="00282A87">
      <w:pPr>
        <w:jc w:val="both"/>
        <w:rPr>
          <w:sz w:val="28"/>
          <w:szCs w:val="28"/>
        </w:rPr>
      </w:pPr>
    </w:p>
    <w:p w:rsidR="00DC1CC0" w:rsidRDefault="00DC1CC0" w:rsidP="00DC1CC0">
      <w:pPr>
        <w:ind w:firstLine="708"/>
        <w:jc w:val="both"/>
        <w:rPr>
          <w:sz w:val="28"/>
        </w:rPr>
      </w:pPr>
    </w:p>
    <w:sectPr w:rsidR="00DC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C1CC0"/>
    <w:rsid w:val="00282A87"/>
    <w:rsid w:val="003669D6"/>
    <w:rsid w:val="00525178"/>
    <w:rsid w:val="005D1857"/>
    <w:rsid w:val="006A06B9"/>
    <w:rsid w:val="009F011B"/>
    <w:rsid w:val="00AC1C1E"/>
    <w:rsid w:val="00C1746F"/>
    <w:rsid w:val="00CE31AB"/>
    <w:rsid w:val="00DC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CC0"/>
    <w:rPr>
      <w:sz w:val="24"/>
      <w:szCs w:val="24"/>
    </w:rPr>
  </w:style>
  <w:style w:type="character" w:default="1" w:styleId="a0">
    <w:name w:val="Default Paragraph Font"/>
    <w:semiHidden/>
    <w:rsid w:val="00DC1CC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1CC0"/>
  </w:style>
  <w:style w:type="table" w:styleId="a3">
    <w:name w:val="Table Grid"/>
    <w:basedOn w:val="a1"/>
    <w:rsid w:val="00DC1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Мегабайт плюс</cp:lastModifiedBy>
  <cp:revision>1</cp:revision>
  <dcterms:created xsi:type="dcterms:W3CDTF">2015-01-28T07:58:00Z</dcterms:created>
  <dcterms:modified xsi:type="dcterms:W3CDTF">2015-01-28T07:58:00Z</dcterms:modified>
</cp:coreProperties>
</file>